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37D8A5C" w:rsidR="00093CA9" w:rsidRDefault="00767910" w:rsidP="00093CA9">
            <w:r>
              <w:t>Gowling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DD8853D" w:rsidR="00093CA9" w:rsidRDefault="00BE1A88" w:rsidP="00093CA9">
            <w:r w:rsidRPr="00BE1A88">
              <w:t>Greenhouse Gas Offset Credit System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0C2BDB1" w14:textId="77777777" w:rsidR="00093CA9" w:rsidRDefault="00A8028E" w:rsidP="00093CA9">
            <w:hyperlink r:id="rId19" w:history="1">
              <w:r w:rsidRPr="00A8028E">
                <w:rPr>
                  <w:rStyle w:val="Hyperlink"/>
                </w:rPr>
                <w:t>/web/20250708223601/https://www.canada.ca/en/environment-climate-change/services/climate-change/pricing-pollution-how-it-will-work/output-based-pricing-system/federal-greenhouse-gas-offset-system/regulations.html</w:t>
              </w:r>
            </w:hyperlink>
          </w:p>
          <w:p w14:paraId="1523C232" w14:textId="6D9B03E3" w:rsidR="00A8028E" w:rsidRDefault="000B53AE" w:rsidP="00093CA9">
            <w:hyperlink r:id="rId20" w:history="1">
              <w:r w:rsidRPr="000B53AE">
                <w:rPr>
                  <w:rStyle w:val="Hyperlink"/>
                </w:rPr>
                <w:t>/web/20250709025646/https://gazette.gc.ca/rp-pr/p2/2022/2022-06-08/html/sor-dors111-eng.html</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3AFB88C" w:rsidR="00093CA9" w:rsidRDefault="00A478A8"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3780DF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B1B9B21" w14:textId="69A6056E" w:rsidR="00093CA9" w:rsidRDefault="00CD4664" w:rsidP="00093CA9">
            <w:r>
              <w:t xml:space="preserve">The </w:t>
            </w:r>
            <w:r w:rsidRPr="00CD4664">
              <w:t>Canadian Greenhouse Gas Offset Credit System Regulations</w:t>
            </w:r>
            <w:r>
              <w:t xml:space="preserve"> </w:t>
            </w:r>
            <w:r w:rsidRPr="00CD4664">
              <w:t>establish a framework for creating and using offset credits to incentivize projects that reduce or remove greenhouse gas emissions in Canada. These regulations, apply to projects that reduce GHG emissions or increase GHG removals from the atmosphere, provided they meet specific criteria and are implemented using a federal offset protocol</w:t>
            </w:r>
            <w:r>
              <w:t>.</w:t>
            </w:r>
          </w:p>
          <w:p w14:paraId="18257824" w14:textId="378EFA59" w:rsidR="00CD4664" w:rsidRDefault="00CD4664" w:rsidP="00093CA9">
            <w:r w:rsidRPr="00CD4664">
              <w:t>Although participation in the GHG Offset Credit System is voluntary, once a project is registered the proponent is subject to the Regulations. The Regulations include conditions for registering a project</w:t>
            </w:r>
            <w:r w:rsidR="002C2F29">
              <w:t xml:space="preserve"> and</w:t>
            </w:r>
            <w:r w:rsidRPr="00CD4664">
              <w:t xml:space="preserve"> requirements for proponents</w:t>
            </w:r>
            <w:r w:rsidR="002C2F29">
              <w:t xml:space="preserve">. They also detail how </w:t>
            </w:r>
            <w:r w:rsidRPr="00CD4664">
              <w:t>offset credits</w:t>
            </w:r>
            <w:r w:rsidR="002C2F29">
              <w:t xml:space="preserve"> are issued, as well as how </w:t>
            </w:r>
            <w:r w:rsidRPr="00CD4664">
              <w:t>records</w:t>
            </w:r>
            <w:r w:rsidR="002C2F29">
              <w:t xml:space="preserve"> relating to the issuance of credits should be maintained.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78C1A35" w:rsidR="00093CA9" w:rsidRDefault="00CD466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8D222A7" w:rsidR="00093CA9" w:rsidRPr="00173D7C" w:rsidRDefault="00CD4664"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A3D3F49" w:rsidR="00093CA9" w:rsidRPr="00173D7C" w:rsidRDefault="00CD4664" w:rsidP="00093CA9">
            <w:pPr>
              <w:rPr>
                <w:color w:val="000000" w:themeColor="text1"/>
              </w:rPr>
            </w:pPr>
            <w:r>
              <w:rPr>
                <w:color w:val="000000" w:themeColor="text1"/>
              </w:rPr>
              <w:t>2022 onwards.</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32C885" w:rsidR="00093CA9" w:rsidRPr="00E666C7" w:rsidRDefault="00E666C7" w:rsidP="00093CA9">
            <w:pPr>
              <w:rPr>
                <w:color w:val="000000" w:themeColor="text1"/>
                <w:lang w:val="en-CA"/>
              </w:rPr>
            </w:pPr>
            <w:r w:rsidRPr="00E666C7">
              <w:rPr>
                <w:color w:val="000000" w:themeColor="text1"/>
                <w:lang w:val="en-CA"/>
              </w:rPr>
              <w:t xml:space="preserve">Registration in Credit and Tracking System is currently only open to project proponents. Registration for other market participants is expected to be available </w:t>
            </w:r>
            <w:r>
              <w:rPr>
                <w:color w:val="000000" w:themeColor="text1"/>
                <w:lang w:val="en-CA"/>
              </w:rPr>
              <w:t>later this year (2025).</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CFB5661" w:rsidR="00093CA9" w:rsidRDefault="00D158AC" w:rsidP="00093CA9">
            <w:r>
              <w:t>Head of state and/or government, Legislature, Ministry/Department/Agency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DEE1133" w:rsidR="00093CA9" w:rsidRPr="006B7B0D" w:rsidRDefault="00302AB6" w:rsidP="00093CA9">
            <w:r>
              <w:t>Ministry of Environment and Climate Change (federal)</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7209A18" w:rsidR="00093CA9" w:rsidRPr="006B7B0D" w:rsidRDefault="00302AB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2438A27" w:rsidR="00093CA9" w:rsidRDefault="00E666C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00AF387" w:rsidR="00093CA9" w:rsidRPr="00E666C7" w:rsidRDefault="00E666C7" w:rsidP="00E666C7">
            <w:pPr>
              <w:rPr>
                <w:color w:val="000000" w:themeColor="text1"/>
                <w:lang w:val="en-CA"/>
              </w:rPr>
            </w:pPr>
            <w:r w:rsidRPr="00E666C7">
              <w:rPr>
                <w:color w:val="000000" w:themeColor="text1"/>
              </w:rPr>
              <w:t xml:space="preserve">The </w:t>
            </w:r>
            <w:r w:rsidRPr="00E666C7">
              <w:rPr>
                <w:color w:val="000000" w:themeColor="text1"/>
                <w:lang w:val="en-CA"/>
              </w:rPr>
              <w:t>Greenhouse Gas Offset Credit System Regulations</w:t>
            </w:r>
            <w:r>
              <w:rPr>
                <w:color w:val="000000" w:themeColor="text1"/>
                <w:lang w:val="en-CA"/>
              </w:rPr>
              <w:t xml:space="preserve"> </w:t>
            </w:r>
            <w:r w:rsidRPr="00E666C7">
              <w:rPr>
                <w:color w:val="000000" w:themeColor="text1"/>
              </w:rPr>
              <w:t>make a related amendment to the </w:t>
            </w:r>
            <w:r w:rsidRPr="00E666C7">
              <w:rPr>
                <w:i/>
                <w:iCs/>
                <w:color w:val="000000" w:themeColor="text1"/>
              </w:rPr>
              <w:t>Environmental Violations Administrative Monetary Penalties Regulations</w:t>
            </w:r>
            <w:r>
              <w:rPr>
                <w:color w:val="000000" w:themeColor="text1"/>
              </w:rPr>
              <w:t>. This amendment</w:t>
            </w:r>
            <w:r w:rsidRPr="00E666C7">
              <w:rPr>
                <w:color w:val="000000" w:themeColor="text1"/>
              </w:rPr>
              <w:t xml:space="preserve"> enable</w:t>
            </w:r>
            <w:r>
              <w:rPr>
                <w:color w:val="000000" w:themeColor="text1"/>
              </w:rPr>
              <w:t>s</w:t>
            </w:r>
            <w:r w:rsidRPr="00E666C7">
              <w:rPr>
                <w:color w:val="000000" w:themeColor="text1"/>
              </w:rPr>
              <w:t xml:space="preserve"> the designation of certain provisions of the Regulations</w:t>
            </w:r>
            <w:r>
              <w:rPr>
                <w:color w:val="000000" w:themeColor="text1"/>
              </w:rPr>
              <w:t xml:space="preserve">, which </w:t>
            </w:r>
            <w:r w:rsidRPr="00E666C7">
              <w:rPr>
                <w:color w:val="000000" w:themeColor="text1"/>
              </w:rPr>
              <w:t>authorize</w:t>
            </w:r>
            <w:r>
              <w:rPr>
                <w:color w:val="000000" w:themeColor="text1"/>
              </w:rPr>
              <w:t>s</w:t>
            </w:r>
            <w:r w:rsidRPr="00E666C7">
              <w:rPr>
                <w:color w:val="000000" w:themeColor="text1"/>
              </w:rPr>
              <w:t xml:space="preserve"> enforcement officers to issue administrative monetary penalties for violations of </w:t>
            </w:r>
            <w:r>
              <w:rPr>
                <w:color w:val="000000" w:themeColor="text1"/>
              </w:rPr>
              <w:t>any provisions</w:t>
            </w:r>
            <w:r w:rsidRPr="00E666C7">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D158AC"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CD4664" w:rsidRDefault="00107CE2" w:rsidP="00DD3144">
            <w:pPr>
              <w:rPr>
                <w:lang w:val="fr-CA"/>
              </w:rPr>
            </w:pPr>
            <w:r w:rsidRPr="00CD4664">
              <w:rPr>
                <w:lang w:val="fr-CA"/>
              </w:rPr>
              <w:t>Minimum revenue (Enter minimum revenue)</w:t>
            </w:r>
          </w:p>
        </w:tc>
        <w:tc>
          <w:tcPr>
            <w:tcW w:w="4910" w:type="dxa"/>
            <w:gridSpan w:val="7"/>
            <w:shd w:val="clear" w:color="auto" w:fill="auto"/>
            <w:vAlign w:val="center"/>
          </w:tcPr>
          <w:p w14:paraId="2518BD70" w14:textId="77777777" w:rsidR="00524D54" w:rsidRPr="00CD4664" w:rsidRDefault="00524D54" w:rsidP="00DD3144">
            <w:pPr>
              <w:rPr>
                <w:lang w:val="fr-CA"/>
              </w:rPr>
            </w:pPr>
          </w:p>
        </w:tc>
      </w:tr>
      <w:tr w:rsidR="00524D54" w:rsidRPr="00D158A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CD4664"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D4664" w:rsidRDefault="004F276F" w:rsidP="00C37D48">
            <w:pPr>
              <w:rPr>
                <w:rFonts w:ascii="Calibri" w:hAnsi="Calibri" w:cs="Calibri"/>
                <w:lang w:val="fr-CA"/>
              </w:rPr>
            </w:pPr>
            <w:r w:rsidRPr="00CD4664">
              <w:rPr>
                <w:rFonts w:ascii="Calibri" w:hAnsi="Calibri" w:cs="Calibri"/>
                <w:lang w:val="fr-CA"/>
              </w:rPr>
              <w:t>Minimum revenue (Enter minimum revenue)</w:t>
            </w:r>
          </w:p>
        </w:tc>
        <w:tc>
          <w:tcPr>
            <w:tcW w:w="4894" w:type="dxa"/>
            <w:gridSpan w:val="4"/>
            <w:shd w:val="clear" w:color="auto" w:fill="auto"/>
            <w:vAlign w:val="center"/>
          </w:tcPr>
          <w:p w14:paraId="6AD40C56" w14:textId="77777777" w:rsidR="004F276F" w:rsidRPr="00CD4664" w:rsidRDefault="004F276F" w:rsidP="00C37D48">
            <w:pPr>
              <w:rPr>
                <w:rFonts w:ascii="Calibri" w:hAnsi="Calibri" w:cs="Calibri"/>
                <w:lang w:val="fr-CA"/>
              </w:rPr>
            </w:pPr>
          </w:p>
        </w:tc>
      </w:tr>
      <w:tr w:rsidR="004F276F" w:rsidRPr="00CD466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CD466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CD4664" w:rsidRDefault="00C66EE0" w:rsidP="00610F28">
            <w:pPr>
              <w:rPr>
                <w:rFonts w:ascii="Calibri" w:hAnsi="Calibri" w:cs="Calibri"/>
                <w:lang w:val="fr-CA"/>
              </w:rPr>
            </w:pPr>
            <w:r w:rsidRPr="00CD4664">
              <w:rPr>
                <w:rFonts w:ascii="Calibri" w:hAnsi="Calibri" w:cs="Calibri"/>
                <w:lang w:val="fr-CA"/>
              </w:rPr>
              <w:t>Minimum revenue (Enter minimum revenue)</w:t>
            </w:r>
          </w:p>
        </w:tc>
        <w:tc>
          <w:tcPr>
            <w:tcW w:w="5220" w:type="dxa"/>
            <w:gridSpan w:val="3"/>
            <w:shd w:val="clear" w:color="auto" w:fill="auto"/>
            <w:vAlign w:val="center"/>
          </w:tcPr>
          <w:p w14:paraId="6BA41E6D" w14:textId="77777777" w:rsidR="00C66EE0" w:rsidRPr="00CD4664" w:rsidRDefault="00C66EE0" w:rsidP="00610F28">
            <w:pPr>
              <w:rPr>
                <w:rFonts w:ascii="Calibri" w:hAnsi="Calibri" w:cs="Calibri"/>
                <w:lang w:val="fr-CA"/>
              </w:rPr>
            </w:pPr>
          </w:p>
        </w:tc>
      </w:tr>
      <w:tr w:rsidR="00241257" w:rsidRPr="00CD466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604684FE" w:rsidR="00D4323A" w:rsidRPr="00CF2E7C" w:rsidRDefault="00F94100"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0C68E47C" w:rsidR="00D4323A" w:rsidRPr="00CF2E7C" w:rsidRDefault="00F94100"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3D5E87AA" w:rsidR="00D4323A" w:rsidRPr="00CF2E7C" w:rsidRDefault="00D4323A" w:rsidP="00CF2E7C">
            <w:pPr>
              <w:rPr>
                <w:rFonts w:ascii="Calibri" w:hAnsi="Calibri" w:cs="Calibri"/>
              </w:rPr>
            </w:pPr>
          </w:p>
        </w:tc>
        <w:tc>
          <w:tcPr>
            <w:tcW w:w="1723" w:type="dxa"/>
            <w:vAlign w:val="center"/>
          </w:tcPr>
          <w:p w14:paraId="0BD0C46F" w14:textId="6E87688F" w:rsidR="00D4323A" w:rsidRPr="00CF2E7C" w:rsidRDefault="004457A3"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30D6D1BD" w:rsidR="00D4323A" w:rsidRPr="00CF2E7C" w:rsidRDefault="00F94100"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4CBD4C57" w:rsidR="00D4323A" w:rsidRPr="00CF2E7C" w:rsidRDefault="004457A3"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5ED3FBFB" w:rsidR="00D4323A" w:rsidRPr="00CF2E7C" w:rsidRDefault="004457A3"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6EA6080F" w:rsidR="00D4323A" w:rsidRPr="00CF2E7C" w:rsidRDefault="00D4323A" w:rsidP="00CF2E7C">
            <w:pPr>
              <w:rPr>
                <w:rFonts w:ascii="Calibri" w:hAnsi="Calibri" w:cs="Calibri"/>
              </w:rPr>
            </w:pPr>
          </w:p>
        </w:tc>
        <w:tc>
          <w:tcPr>
            <w:tcW w:w="1723" w:type="dxa"/>
            <w:vAlign w:val="center"/>
          </w:tcPr>
          <w:p w14:paraId="51B18F60" w14:textId="7290172A" w:rsidR="00D4323A" w:rsidRPr="00CF2E7C" w:rsidRDefault="00BD5F80"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560012EA" w:rsidR="00D4323A" w:rsidRPr="00CF2E7C" w:rsidRDefault="00285F06" w:rsidP="00CF2E7C">
            <w:pPr>
              <w:rPr>
                <w:rFonts w:ascii="Calibri" w:hAnsi="Calibri" w:cs="Calibri"/>
              </w:rPr>
            </w:pPr>
            <w:r>
              <w:rPr>
                <w:rFonts w:ascii="Calibri" w:hAnsi="Calibri" w:cs="Calibri"/>
              </w:rPr>
              <w:t>X</w:t>
            </w:r>
          </w:p>
        </w:tc>
        <w:tc>
          <w:tcPr>
            <w:tcW w:w="1723" w:type="dxa"/>
            <w:vAlign w:val="center"/>
          </w:tcPr>
          <w:p w14:paraId="2E4A286B" w14:textId="5BE286AE"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07FBBD3E" w:rsidR="00D4323A" w:rsidRPr="00CF2E7C" w:rsidRDefault="00285F06" w:rsidP="00CF2E7C">
            <w:pPr>
              <w:rPr>
                <w:rFonts w:ascii="Calibri" w:hAnsi="Calibri" w:cs="Calibri"/>
              </w:rPr>
            </w:pPr>
            <w:r>
              <w:rPr>
                <w:rFonts w:ascii="Calibri" w:hAnsi="Calibri" w:cs="Calibri"/>
              </w:rPr>
              <w:t>X</w:t>
            </w:r>
          </w:p>
        </w:tc>
        <w:tc>
          <w:tcPr>
            <w:tcW w:w="1723" w:type="dxa"/>
            <w:vAlign w:val="center"/>
          </w:tcPr>
          <w:p w14:paraId="2B8AB3B9" w14:textId="5F979A1C"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BEE81F0" w:rsidR="00D4323A" w:rsidRPr="00CF2E7C" w:rsidRDefault="00285F06" w:rsidP="00CF2E7C">
            <w:pPr>
              <w:rPr>
                <w:rFonts w:ascii="Calibri" w:hAnsi="Calibri" w:cs="Calibri"/>
              </w:rPr>
            </w:pPr>
            <w:r>
              <w:rPr>
                <w:rFonts w:ascii="Calibri" w:hAnsi="Calibri" w:cs="Calibri"/>
              </w:rPr>
              <w:t>X</w:t>
            </w:r>
          </w:p>
        </w:tc>
        <w:tc>
          <w:tcPr>
            <w:tcW w:w="1723" w:type="dxa"/>
            <w:vAlign w:val="center"/>
          </w:tcPr>
          <w:p w14:paraId="6D84FEB1" w14:textId="3A2A182E"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18B09C19" w:rsidR="00D4323A" w:rsidRPr="00CF2E7C" w:rsidRDefault="00285F06" w:rsidP="00CF2E7C">
            <w:pPr>
              <w:rPr>
                <w:rFonts w:ascii="Calibri" w:hAnsi="Calibri" w:cs="Calibri"/>
              </w:rPr>
            </w:pPr>
            <w:r>
              <w:rPr>
                <w:rFonts w:ascii="Calibri" w:hAnsi="Calibri" w:cs="Calibri"/>
              </w:rPr>
              <w:t>X</w:t>
            </w:r>
          </w:p>
        </w:tc>
        <w:tc>
          <w:tcPr>
            <w:tcW w:w="1723" w:type="dxa"/>
            <w:vAlign w:val="center"/>
          </w:tcPr>
          <w:p w14:paraId="7DC8E64E" w14:textId="4A613CAE"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485343D8" w:rsidR="00D4323A" w:rsidRPr="00CF2E7C" w:rsidRDefault="004457A3"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5BC3340D" w:rsidR="00092534" w:rsidRPr="00CF2E7C" w:rsidRDefault="004457A3"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6AB0CB89" w:rsidR="00092534" w:rsidRPr="00CF2E7C" w:rsidRDefault="004457A3" w:rsidP="00CF2E7C">
            <w:pPr>
              <w:rPr>
                <w:rFonts w:ascii="Calibri" w:hAnsi="Calibri" w:cs="Calibri"/>
              </w:rPr>
            </w:pPr>
            <w:r>
              <w:rPr>
                <w:rFonts w:ascii="Calibri" w:hAnsi="Calibri" w:cs="Calibri"/>
              </w:rPr>
              <w:t>X</w:t>
            </w: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1B7D276E" w:rsidR="00092534" w:rsidRPr="00CF2E7C" w:rsidRDefault="004457A3"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2B5E6694" w:rsidR="00092534" w:rsidRPr="00CF2E7C" w:rsidRDefault="004457A3"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5F91F768" w:rsidR="00092534" w:rsidRPr="00CF2E7C" w:rsidRDefault="004457A3"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36877E10" w:rsidR="00092534" w:rsidRPr="00CF2E7C" w:rsidRDefault="004457A3" w:rsidP="00CF2E7C">
            <w:pPr>
              <w:rPr>
                <w:rFonts w:ascii="Calibri" w:hAnsi="Calibri" w:cs="Calibri"/>
              </w:rPr>
            </w:pPr>
            <w:r>
              <w:rPr>
                <w:rFonts w:ascii="Calibri" w:hAnsi="Calibri" w:cs="Calibri"/>
              </w:rPr>
              <w:t>X</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0D6349FD" w:rsidR="00092534" w:rsidRPr="00CF2E7C" w:rsidRDefault="00092534" w:rsidP="00CF2E7C">
            <w:pPr>
              <w:rPr>
                <w:rFonts w:ascii="Calibri" w:hAnsi="Calibri" w:cs="Calibri"/>
              </w:rPr>
            </w:pPr>
          </w:p>
        </w:tc>
        <w:tc>
          <w:tcPr>
            <w:tcW w:w="1723" w:type="dxa"/>
            <w:vAlign w:val="center"/>
          </w:tcPr>
          <w:p w14:paraId="51496CE3" w14:textId="351A368B" w:rsidR="00092534" w:rsidRPr="00CF2E7C" w:rsidRDefault="004457A3"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3D568614" w:rsidR="00092534" w:rsidRPr="00CF2E7C" w:rsidRDefault="004457A3" w:rsidP="00CF2E7C">
            <w:pPr>
              <w:rPr>
                <w:rFonts w:ascii="Calibri" w:hAnsi="Calibri" w:cs="Calibri"/>
              </w:rPr>
            </w:pPr>
            <w:r>
              <w:rPr>
                <w:rFonts w:ascii="Calibri" w:hAnsi="Calibri" w:cs="Calibri"/>
              </w:rPr>
              <w:t>X</w:t>
            </w:r>
          </w:p>
        </w:tc>
        <w:tc>
          <w:tcPr>
            <w:tcW w:w="1723" w:type="dxa"/>
            <w:vAlign w:val="center"/>
          </w:tcPr>
          <w:p w14:paraId="237D287F" w14:textId="4996E831"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3B6284C8" w:rsidR="00092534" w:rsidRPr="00CF2E7C" w:rsidRDefault="004457A3"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31AA40D8" w:rsidR="00092534" w:rsidRPr="00CF2E7C" w:rsidRDefault="004457A3"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6B86644D" w:rsidR="00092534" w:rsidRPr="00CF2E7C" w:rsidRDefault="004457A3"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1DC2C2E7" w:rsidR="00092534" w:rsidRPr="00CF2E7C" w:rsidRDefault="004457A3"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216A1A91" w:rsidR="00092534" w:rsidRPr="00CF2E7C" w:rsidRDefault="004457A3"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8A55565" w:rsidR="00092534" w:rsidRPr="00CF2E7C" w:rsidRDefault="004457A3"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9CA0A1C" w:rsidR="00092534" w:rsidRPr="00CF2E7C" w:rsidRDefault="004457A3"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56F2CF47" w:rsidR="00092534" w:rsidRPr="00CF2E7C" w:rsidRDefault="004457A3"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3C06C16B" w:rsidR="00092534" w:rsidRPr="00CF2E7C" w:rsidRDefault="004457A3"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6A36EB8D" w:rsidR="00092534" w:rsidRPr="00CF2E7C" w:rsidRDefault="004457A3"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57F77D94" w:rsidR="00092534" w:rsidRPr="00CF2E7C" w:rsidRDefault="004457A3"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4C996C2F" w:rsidR="00092534" w:rsidRPr="00CF2E7C" w:rsidRDefault="004457A3"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34D8239D" w:rsidR="00092534" w:rsidRPr="00CF2E7C" w:rsidRDefault="004457A3"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CDB41C4" w:rsidR="00092534" w:rsidRPr="00CF2E7C" w:rsidRDefault="00037972" w:rsidP="00CF2E7C">
            <w:pPr>
              <w:rPr>
                <w:rFonts w:ascii="Calibri" w:hAnsi="Calibri" w:cs="Calibri"/>
              </w:rPr>
            </w:pPr>
            <w:r>
              <w:rPr>
                <w:rFonts w:ascii="Calibri" w:hAnsi="Calibri" w:cs="Calibri"/>
              </w:rPr>
              <w:t>Any actors that are undertaking projects</w:t>
            </w:r>
            <w:r w:rsidR="00E666C7">
              <w:rPr>
                <w:rFonts w:ascii="Calibri" w:hAnsi="Calibri" w:cs="Calibri"/>
              </w:rPr>
              <w:t xml:space="preserve"> that are expected to generate GHG emissions</w:t>
            </w:r>
            <w:r>
              <w:rPr>
                <w:rFonts w:ascii="Calibri" w:hAnsi="Calibri" w:cs="Calibri"/>
              </w:rPr>
              <w:t xml:space="preserve"> as proponents are targeted by the program.</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02EF8F41" w:rsidR="00092534" w:rsidRPr="00CF2E7C" w:rsidRDefault="00092534" w:rsidP="00CF2E7C">
            <w:pPr>
              <w:rPr>
                <w:rFonts w:ascii="Calibri" w:hAnsi="Calibri" w:cs="Calibri"/>
              </w:rPr>
            </w:pPr>
          </w:p>
        </w:tc>
      </w:tr>
      <w:tr w:rsidR="00092534" w:rsidRPr="00CD466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D4664" w:rsidRDefault="00092534" w:rsidP="00CF2E7C">
            <w:pPr>
              <w:rPr>
                <w:rFonts w:ascii="Calibri" w:hAnsi="Calibri" w:cs="Calibri"/>
                <w:lang w:val="fr-CA"/>
              </w:rPr>
            </w:pPr>
            <w:r w:rsidRPr="00CD4664">
              <w:rPr>
                <w:rFonts w:ascii="Calibri" w:hAnsi="Calibri" w:cs="Calibri"/>
                <w:lang w:val="fr-CA"/>
              </w:rPr>
              <w:t>Minimum revenue (Enter minimum revenue)</w:t>
            </w:r>
          </w:p>
        </w:tc>
        <w:tc>
          <w:tcPr>
            <w:tcW w:w="4983" w:type="dxa"/>
            <w:gridSpan w:val="5"/>
            <w:shd w:val="clear" w:color="auto" w:fill="auto"/>
            <w:vAlign w:val="center"/>
          </w:tcPr>
          <w:p w14:paraId="7AD6A409" w14:textId="1F0E5619" w:rsidR="00092534" w:rsidRPr="00CD4664" w:rsidRDefault="00092534" w:rsidP="00CF2E7C">
            <w:pPr>
              <w:rPr>
                <w:rFonts w:ascii="Calibri" w:hAnsi="Calibri" w:cs="Calibri"/>
                <w:lang w:val="fr-CA"/>
              </w:rPr>
            </w:pPr>
          </w:p>
        </w:tc>
      </w:tr>
      <w:tr w:rsidR="00092534" w:rsidRPr="00CD466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6D81BA6"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37CBBE2D"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89296FF"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277095F" w:rsidR="00092534" w:rsidRPr="00CF2E7C" w:rsidRDefault="00E666C7"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0BF9F669" w:rsidR="00092534" w:rsidRPr="00CF2E7C" w:rsidRDefault="00E666C7" w:rsidP="00CF2E7C">
            <w:pPr>
              <w:rPr>
                <w:rFonts w:ascii="Calibri" w:hAnsi="Calibri" w:cs="Calibri"/>
              </w:rPr>
            </w:pPr>
            <w:r>
              <w:rPr>
                <w:rFonts w:ascii="Calibri" w:hAnsi="Calibri" w:cs="Calibri"/>
              </w:rPr>
              <w:t xml:space="preserve">If entities choose to participate in the offsetting program, they must follow the requirements of the </w:t>
            </w:r>
            <w:r w:rsidRPr="00E666C7">
              <w:rPr>
                <w:rFonts w:ascii="Calibri" w:hAnsi="Calibri" w:cs="Calibri"/>
              </w:rPr>
              <w:t>Greenhouse Gas Offset Credit System</w:t>
            </w:r>
            <w:r>
              <w:rPr>
                <w:rFonts w:ascii="Calibri" w:hAnsi="Calibri" w:cs="Calibri"/>
              </w:rPr>
              <w:t xml:space="preserve">, as set out in the Regulations. These include strict registration and reporting requirements. </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0F6EC036" w:rsidR="00DB1E72" w:rsidRPr="00CF2E7C" w:rsidRDefault="00E666C7"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1F96E710" w:rsidR="00DB1E72" w:rsidRPr="00CF2E7C" w:rsidRDefault="00E666C7" w:rsidP="00CF2E7C">
            <w:pPr>
              <w:rPr>
                <w:rFonts w:ascii="Calibri" w:hAnsi="Calibri" w:cs="Calibri"/>
              </w:rPr>
            </w:pPr>
            <w:r w:rsidRPr="00E666C7">
              <w:rPr>
                <w:rFonts w:ascii="Calibri" w:hAnsi="Calibri" w:cs="Calibri"/>
              </w:rPr>
              <w:t>Under the Environmental Violations Administrative Monetary Penalties Regulations, enforcement officers can issue administrative monetary penalties for</w:t>
            </w:r>
            <w:r>
              <w:rPr>
                <w:rFonts w:ascii="Calibri" w:hAnsi="Calibri" w:cs="Calibri"/>
              </w:rPr>
              <w:t xml:space="preserve"> any</w:t>
            </w:r>
            <w:r w:rsidRPr="00E666C7">
              <w:rPr>
                <w:rFonts w:ascii="Calibri" w:hAnsi="Calibri" w:cs="Calibri"/>
              </w:rPr>
              <w:t xml:space="preserve"> </w:t>
            </w:r>
            <w:r>
              <w:rPr>
                <w:rFonts w:ascii="Calibri" w:hAnsi="Calibri" w:cs="Calibri"/>
              </w:rPr>
              <w:t>non-compliance</w:t>
            </w:r>
            <w:r w:rsidRPr="00E666C7">
              <w:rPr>
                <w:rFonts w:ascii="Calibri" w:hAnsi="Calibri" w:cs="Calibri"/>
              </w:rPr>
              <w:t>.</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3B575E52" w:rsidR="00092534" w:rsidRPr="00CF2E7C" w:rsidRDefault="00037972"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0BAF4AD6" w:rsidR="00092534" w:rsidRPr="00CF2E7C" w:rsidRDefault="00037972" w:rsidP="00CF2E7C">
            <w:pPr>
              <w:rPr>
                <w:rFonts w:ascii="Calibri" w:hAnsi="Calibri" w:cs="Calibri"/>
              </w:rPr>
            </w:pPr>
            <w:r>
              <w:rPr>
                <w:rFonts w:ascii="Calibri" w:hAnsi="Calibri" w:cs="Calibri"/>
              </w:rPr>
              <w:t>Implementation is being administered and tracked through the “Credit and Tracking System,” which is federal platform that includes a public registry with a current listing of registered projects and offset credits.</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B2B125F" w:rsidR="00092534" w:rsidRPr="00CF2E7C" w:rsidRDefault="00E666C7"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BDCC0E2" w:rsidR="00092534" w:rsidRPr="00CF2E7C" w:rsidRDefault="00037972"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6DB15091"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0CA80EB3" w:rsidR="00D46B07" w:rsidRPr="00CF2E7C" w:rsidRDefault="00536B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4C023B41" w:rsidR="00D46B07" w:rsidRPr="00CF2E7C" w:rsidRDefault="00536B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0BF7865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7DB7AE0A" w:rsidR="00D46B07" w:rsidRPr="00CF2E7C" w:rsidRDefault="007802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0F0CEB9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6D586A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802A2">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7402DAC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802A2">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00C3004F"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648939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0B14D801" w:rsidR="00702413" w:rsidRPr="003809A7" w:rsidRDefault="00536BE4" w:rsidP="00CF2E7C">
            <w:pPr>
              <w:textAlignment w:val="baseline"/>
              <w:rPr>
                <w:rFonts w:ascii="Calibri" w:eastAsia="Times New Roman" w:hAnsi="Calibri" w:cs="Calibri"/>
                <w:kern w:val="0"/>
                <w:lang w:val="en-CA" w:eastAsia="en-GB"/>
                <w14:ligatures w14:val="none"/>
              </w:rPr>
            </w:pPr>
            <w:r w:rsidRPr="00536BE4">
              <w:rPr>
                <w:rFonts w:ascii="Calibri" w:eastAsia="Times New Roman" w:hAnsi="Calibri" w:cs="Calibri"/>
                <w:kern w:val="0"/>
                <w:lang w:eastAsia="en-GB"/>
                <w14:ligatures w14:val="none"/>
              </w:rPr>
              <w:t xml:space="preserve">The Credit and Tracking System (CATS) </w:t>
            </w:r>
            <w:r w:rsidR="003809A7">
              <w:rPr>
                <w:rFonts w:ascii="Calibri" w:eastAsia="Times New Roman" w:hAnsi="Calibri" w:cs="Calibri"/>
                <w:kern w:val="0"/>
                <w:lang w:val="en-CA" w:eastAsia="en-GB"/>
                <w14:ligatures w14:val="none"/>
              </w:rPr>
              <w:t xml:space="preserve">is used to </w:t>
            </w:r>
            <w:r w:rsidR="003809A7" w:rsidRPr="003809A7">
              <w:rPr>
                <w:rFonts w:ascii="Calibri" w:eastAsia="Times New Roman" w:hAnsi="Calibri" w:cs="Calibri"/>
                <w:kern w:val="0"/>
                <w:lang w:val="en-CA" w:eastAsia="en-GB"/>
                <w14:ligatures w14:val="none"/>
              </w:rPr>
              <w:t>accommodate registration and reporting for offset projects, as well as issuance and tracking of offset credits. The tracking system includes a trading platform for account holders to help connect buyers and sellers. However, purchases of offset credits will be made through bilateral transactions outside of the credit and tracking system; for example, directly with a project proponent, or through a broker or other market participant with an account in the system. A public view of the tracking system will be made available to share key information on registered projects and the status of offset credits issued.</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26FB996B" w:rsidR="00343937" w:rsidRPr="00CF2E7C" w:rsidRDefault="003809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5168D71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09A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3E0FD80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09A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593081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24A99C18" w:rsidR="00343937" w:rsidRPr="00CF2E7C" w:rsidRDefault="003809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19D605F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09A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44076461" w:rsidR="00343937" w:rsidRPr="00CF2E7C" w:rsidRDefault="003809A7" w:rsidP="00CF2E7C">
            <w:pPr>
              <w:textAlignment w:val="baseline"/>
              <w:rPr>
                <w:rFonts w:ascii="Calibri" w:eastAsia="Times New Roman" w:hAnsi="Calibri" w:cs="Calibri"/>
                <w:kern w:val="0"/>
                <w:lang w:eastAsia="en-GB"/>
                <w14:ligatures w14:val="none"/>
              </w:rPr>
            </w:pPr>
            <w:r w:rsidRPr="003809A7">
              <w:rPr>
                <w:rFonts w:ascii="Calibri" w:eastAsia="Times New Roman" w:hAnsi="Calibri" w:cs="Calibri"/>
                <w:kern w:val="0"/>
                <w:lang w:eastAsia="en-GB"/>
                <w14:ligatures w14:val="none"/>
              </w:rPr>
              <w:t xml:space="preserve">A proponent needs to have </w:t>
            </w:r>
            <w:r w:rsidR="00FF70B1" w:rsidRPr="003809A7">
              <w:rPr>
                <w:rFonts w:ascii="Calibri" w:eastAsia="Times New Roman" w:hAnsi="Calibri" w:cs="Calibri"/>
                <w:kern w:val="0"/>
                <w:lang w:eastAsia="en-GB"/>
                <w14:ligatures w14:val="none"/>
              </w:rPr>
              <w:t>exclusive</w:t>
            </w:r>
            <w:r w:rsidRPr="003809A7">
              <w:rPr>
                <w:rFonts w:ascii="Calibri" w:eastAsia="Times New Roman" w:hAnsi="Calibri" w:cs="Calibri"/>
                <w:kern w:val="0"/>
                <w:lang w:eastAsia="en-GB"/>
                <w14:ligatures w14:val="none"/>
              </w:rPr>
              <w:t xml:space="preserve"> entitlement to claim offset credits and to have necessary authorizations to carry out the project. Having exclusive entitlement to claim offset credits means that no one other than the proponent may claim the same GHG reductions generated by the project that are eligible for offset credit issuance. In other words, proponents must have full or exclusive right to all GHG reductions for which they receive offset credits. This provision prevents double counting of GHG reductions and/or removals. Proponents are responsible for ensuring that they have exclusive entitlement to claim offset credits for the GHG reductions generated by their project and must have documents to support that entitlement. </w:t>
            </w:r>
            <w:r w:rsidRPr="003809A7">
              <w:rPr>
                <w:rFonts w:ascii="Calibri" w:eastAsia="Times New Roman" w:hAnsi="Calibri" w:cs="Calibri"/>
                <w:kern w:val="0"/>
                <w:lang w:eastAsia="en-GB"/>
                <w14:ligatures w14:val="none"/>
              </w:rPr>
              <w:lastRenderedPageBreak/>
              <w:t>Documentation demonstrating exclusive entitlement needs to be obtained by the proponent prior to registration. The Regulations do not prescribe the documents required to demonstrate exclusive entitlement, however these might include documents such as contracts, documents demonstrating full ownership of the project (e.g., demonstrating equipment and/or land ownership), and funding agreements with clauses related to entitlement to reductions or offset credits and/or participation in offset systems (see 8(1)(b), 8(1)(c), 8(3), Schedule 1(1)(e) and (g), Schedule 2(1)(d) and (e), Schedule 2(2)(c))</w:t>
            </w:r>
            <w:r>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ABB929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09A7">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8F3646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09A7">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0C5F8A1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09A7">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FE88EB0" w:rsidR="000A6F11" w:rsidRPr="00CF2E7C" w:rsidRDefault="007802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4386B0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6D43">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773708C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E6D43">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6F9C63E"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3EEBC5C" w14:textId="5E1B92AD" w:rsidR="00047A9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E6D43" w:rsidRPr="00AE6D43">
              <w:rPr>
                <w:rFonts w:ascii="Calibri" w:eastAsia="Times New Roman" w:hAnsi="Calibri" w:cs="Calibri"/>
                <w:kern w:val="0"/>
                <w:lang w:eastAsia="en-GB"/>
                <w14:ligatures w14:val="none"/>
              </w:rPr>
              <w:t xml:space="preserve">A verification body must conduct verifications in accordance with ISO Standard 14064-3 by applying methods that allow it to make a determination to a reasonable level of assurance, as </w:t>
            </w:r>
            <w:r w:rsidR="00AE6D43" w:rsidRPr="00AE6D43">
              <w:rPr>
                <w:rFonts w:ascii="Calibri" w:eastAsia="Times New Roman" w:hAnsi="Calibri" w:cs="Calibri"/>
                <w:kern w:val="0"/>
                <w:lang w:eastAsia="en-GB"/>
                <w14:ligatures w14:val="none"/>
              </w:rPr>
              <w:lastRenderedPageBreak/>
              <w:t>defined in that Standard</w:t>
            </w:r>
            <w:r w:rsidR="00AE6D43">
              <w:rPr>
                <w:rFonts w:ascii="Calibri" w:eastAsia="Times New Roman" w:hAnsi="Calibri" w:cs="Calibri"/>
                <w:kern w:val="0"/>
                <w:lang w:eastAsia="en-GB"/>
                <w14:ligatures w14:val="none"/>
              </w:rPr>
              <w:t xml:space="preserve"> (see subsection 24(1) of the </w:t>
            </w:r>
            <w:r w:rsidR="00AE6D43" w:rsidRPr="00AE6D43">
              <w:rPr>
                <w:rFonts w:ascii="Calibri" w:eastAsia="Times New Roman" w:hAnsi="Calibri" w:cs="Calibri"/>
                <w:kern w:val="0"/>
                <w:lang w:eastAsia="en-GB"/>
                <w14:ligatures w14:val="none"/>
              </w:rPr>
              <w:t>Canadian Greenhouse Gas Offset Credit System Regulations</w:t>
            </w:r>
            <w:r w:rsidR="001D056E">
              <w:rPr>
                <w:rFonts w:ascii="Calibri" w:eastAsia="Times New Roman" w:hAnsi="Calibri" w:cs="Calibri"/>
                <w:kern w:val="0"/>
                <w:lang w:eastAsia="en-GB"/>
                <w14:ligatures w14:val="none"/>
              </w:rPr>
              <w:t xml:space="preserve"> (the “Regulations”)</w:t>
            </w:r>
            <w:r w:rsidR="00AE6D43">
              <w:rPr>
                <w:rFonts w:ascii="Calibri" w:eastAsia="Times New Roman" w:hAnsi="Calibri" w:cs="Calibri"/>
                <w:kern w:val="0"/>
                <w:lang w:eastAsia="en-GB"/>
                <w14:ligatures w14:val="none"/>
              </w:rPr>
              <w:t>)</w:t>
            </w:r>
            <w:r w:rsidR="001D056E">
              <w:rPr>
                <w:rFonts w:ascii="Calibri" w:eastAsia="Times New Roman" w:hAnsi="Calibri" w:cs="Calibri"/>
                <w:kern w:val="0"/>
                <w:lang w:eastAsia="en-GB"/>
                <w14:ligatures w14:val="none"/>
              </w:rPr>
              <w:t>.</w:t>
            </w:r>
          </w:p>
          <w:p w14:paraId="05FDFDA2" w14:textId="23C5CD67" w:rsidR="001D056E" w:rsidRPr="00CF2E7C" w:rsidRDefault="001D056E" w:rsidP="00CF2E7C">
            <w:pPr>
              <w:textAlignment w:val="baseline"/>
              <w:rPr>
                <w:rFonts w:ascii="Calibri" w:eastAsia="Times New Roman" w:hAnsi="Calibri" w:cs="Calibri"/>
                <w:kern w:val="0"/>
                <w:lang w:eastAsia="en-GB"/>
                <w14:ligatures w14:val="none"/>
              </w:rPr>
            </w:pPr>
            <w:r w:rsidRPr="001D056E">
              <w:rPr>
                <w:rFonts w:ascii="Calibri" w:eastAsia="Times New Roman" w:hAnsi="Calibri" w:cs="Calibri"/>
                <w:kern w:val="0"/>
                <w:lang w:eastAsia="en-GB"/>
                <w14:ligatures w14:val="none"/>
              </w:rPr>
              <w:t>Requirements for verification bodies and verification teams are listed in section 23 of the Regulations. Requirements relating to what must be verified for the applicable report, including regarding how to determine whether a material discrepancy exists in a project report, corrected project report, or a reversal report are included in section 24. Proponents must ensure that no real or potential conflict of interest exists between any party involved in the project and the verification body. This includes members of the verification team and any individual or corporate entity associated with the verification body. Section 26 of the Regulations provides limits on the number of verifications a verification body can perform on a project. Requirements for project site visits by the verification body are included in Section 27.</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E29D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18DDFD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6D43">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25C71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560DD">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616716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560DD">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4AE940F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560DD">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16D72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560DD">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lastRenderedPageBreak/>
              <w:t>[</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2E59697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5027">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A7A5FA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5027">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6A8C74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65027">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5AA2E5D9" w:rsidR="00047A9C" w:rsidRPr="00765027" w:rsidRDefault="00765027" w:rsidP="00CF2E7C">
            <w:pPr>
              <w:textAlignment w:val="baseline"/>
              <w:rPr>
                <w:rFonts w:ascii="Calibri" w:eastAsia="Times New Roman" w:hAnsi="Calibri" w:cs="Calibri"/>
                <w:kern w:val="0"/>
                <w:lang w:val="en-CA" w:eastAsia="en-GB"/>
                <w14:ligatures w14:val="none"/>
              </w:rPr>
            </w:pPr>
            <w:r w:rsidRPr="00765027">
              <w:rPr>
                <w:rFonts w:ascii="Calibri" w:eastAsia="Times New Roman" w:hAnsi="Calibri" w:cs="Calibri"/>
                <w:kern w:val="0"/>
                <w:lang w:val="en-CA" w:eastAsia="en-GB"/>
                <w14:ligatures w14:val="none"/>
              </w:rPr>
              <w:t xml:space="preserve">The </w:t>
            </w:r>
            <w:r w:rsidR="001D056E" w:rsidRPr="00AE6D43">
              <w:rPr>
                <w:rFonts w:ascii="Calibri" w:eastAsia="Times New Roman" w:hAnsi="Calibri" w:cs="Calibri"/>
                <w:kern w:val="0"/>
                <w:lang w:eastAsia="en-GB"/>
                <w14:ligatures w14:val="none"/>
              </w:rPr>
              <w:t>Canadian Greenhouse Gas Offset Credit System Regulations</w:t>
            </w:r>
            <w:r w:rsidR="001D056E" w:rsidRPr="00765027">
              <w:rPr>
                <w:rFonts w:ascii="Calibri" w:eastAsia="Times New Roman" w:hAnsi="Calibri" w:cs="Calibri"/>
                <w:kern w:val="0"/>
                <w:lang w:val="en-CA" w:eastAsia="en-GB"/>
                <w14:ligatures w14:val="none"/>
              </w:rPr>
              <w:t xml:space="preserve"> </w:t>
            </w:r>
            <w:r w:rsidRPr="00765027">
              <w:rPr>
                <w:rFonts w:ascii="Calibri" w:eastAsia="Times New Roman" w:hAnsi="Calibri" w:cs="Calibri"/>
                <w:kern w:val="0"/>
                <w:lang w:val="en-CA" w:eastAsia="en-GB"/>
                <w14:ligatures w14:val="none"/>
              </w:rPr>
              <w:t xml:space="preserve">contain the flexibility for protocols to include tonne-tonne, tonne-year and/or hybrid tonne-year quantification methods for sequestration projects. All methods are based on a core requirement to achieve a 100-year climate benefit for each tonne of carbon dioxide equivalent reduced by an offset project. In other words, the amount of time one tonne of carbon dioxide equivalent must be removed and maintained out of the atmosphere to fully compensate the effect of a one-tonne emission is 100 years.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308DE7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056E">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4F09A4D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056E">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40065E7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056E">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4F63E80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056E">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6CA4A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056E">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61A5E47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D056E" w:rsidRPr="00765027">
              <w:rPr>
                <w:rFonts w:ascii="Calibri" w:eastAsia="Times New Roman" w:hAnsi="Calibri" w:cs="Calibri"/>
                <w:kern w:val="0"/>
                <w:lang w:val="en-CA" w:eastAsia="en-GB"/>
                <w14:ligatures w14:val="none"/>
              </w:rPr>
              <w:t xml:space="preserve">The tonne-tonne method </w:t>
            </w:r>
            <w:r w:rsidR="001D056E">
              <w:rPr>
                <w:rFonts w:ascii="Calibri" w:eastAsia="Times New Roman" w:hAnsi="Calibri" w:cs="Calibri"/>
                <w:kern w:val="0"/>
                <w:lang w:val="en-CA" w:eastAsia="en-GB"/>
                <w14:ligatures w14:val="none"/>
              </w:rPr>
              <w:t xml:space="preserve">specified in the </w:t>
            </w:r>
            <w:r w:rsidR="001D056E" w:rsidRPr="00AE6D43">
              <w:rPr>
                <w:rFonts w:ascii="Calibri" w:eastAsia="Times New Roman" w:hAnsi="Calibri" w:cs="Calibri"/>
                <w:kern w:val="0"/>
                <w:lang w:eastAsia="en-GB"/>
                <w14:ligatures w14:val="none"/>
              </w:rPr>
              <w:t>Canadian Greenhouse Gas Offset Credit System Regulations</w:t>
            </w:r>
            <w:r w:rsidR="001D056E" w:rsidRPr="00765027">
              <w:rPr>
                <w:rFonts w:ascii="Calibri" w:eastAsia="Times New Roman" w:hAnsi="Calibri" w:cs="Calibri"/>
                <w:kern w:val="0"/>
                <w:lang w:val="en-CA" w:eastAsia="en-GB"/>
                <w14:ligatures w14:val="none"/>
              </w:rPr>
              <w:t xml:space="preserve"> includes requirements for proponents to prepare a reversal risk management plan and to monitor the project for GHG reversals for a period of 100 years after the end of the crediting period in order to meet the 100-year climate benefit requirement. Tonne-tonne quantification methods are typically used in offset protocols as it is a well-established approach and is less complex compared to the other quantification methods.</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6012A381" w:rsidR="00DD694D" w:rsidRPr="00CF2E7C" w:rsidRDefault="001D056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E967E85" w14:textId="0928362F" w:rsidR="001D056E" w:rsidRPr="001D056E" w:rsidRDefault="001D056E" w:rsidP="001D056E">
            <w:pPr>
              <w:textAlignment w:val="baseline"/>
              <w:rPr>
                <w:rFonts w:ascii="Calibri" w:eastAsia="Times New Roman" w:hAnsi="Calibri" w:cs="Calibri"/>
                <w:kern w:val="0"/>
                <w:lang w:val="en-CA" w:eastAsia="en-GB"/>
                <w14:ligatures w14:val="none"/>
              </w:rPr>
            </w:pPr>
            <w:r w:rsidRPr="001D056E">
              <w:rPr>
                <w:rFonts w:ascii="Calibri" w:eastAsia="Times New Roman" w:hAnsi="Calibri" w:cs="Calibri"/>
                <w:kern w:val="0"/>
                <w:lang w:val="en-CA" w:eastAsia="en-GB"/>
                <w14:ligatures w14:val="none"/>
              </w:rPr>
              <w:t xml:space="preserve">The </w:t>
            </w:r>
            <w:r w:rsidRPr="00AE6D43">
              <w:rPr>
                <w:rFonts w:ascii="Calibri" w:eastAsia="Times New Roman" w:hAnsi="Calibri" w:cs="Calibri"/>
                <w:kern w:val="0"/>
                <w:lang w:eastAsia="en-GB"/>
                <w14:ligatures w14:val="none"/>
              </w:rPr>
              <w:t>Canadian Greenhouse Gas Offset Credit System Regulations</w:t>
            </w:r>
            <w:r>
              <w:rPr>
                <w:rFonts w:ascii="Calibri" w:eastAsia="Times New Roman" w:hAnsi="Calibri" w:cs="Calibri"/>
                <w:kern w:val="0"/>
                <w:lang w:eastAsia="en-GB"/>
                <w14:ligatures w14:val="none"/>
              </w:rPr>
              <w:t xml:space="preserve"> specify that the</w:t>
            </w:r>
            <w:r w:rsidRPr="00765027">
              <w:rPr>
                <w:rFonts w:ascii="Calibri" w:eastAsia="Times New Roman" w:hAnsi="Calibri" w:cs="Calibri"/>
                <w:kern w:val="0"/>
                <w:lang w:val="en-CA" w:eastAsia="en-GB"/>
                <w14:ligatures w14:val="none"/>
              </w:rPr>
              <w:t xml:space="preserve"> </w:t>
            </w:r>
            <w:r w:rsidRPr="001D056E">
              <w:rPr>
                <w:rFonts w:ascii="Calibri" w:eastAsia="Times New Roman" w:hAnsi="Calibri" w:cs="Calibri"/>
                <w:kern w:val="0"/>
                <w:lang w:val="en-CA" w:eastAsia="en-GB"/>
                <w14:ligatures w14:val="none"/>
              </w:rPr>
              <w:t>GHG reductions achieved by a project is equal to the difference between the GHGs that would have been emitted or removed under a baseline scenario - i.e. under conditions that would have occurred in the absence of the project - and the GHGs emitted or removed under a project scenario, due to the project activities undertaken due to the implementation of the project. These GHG reductions must be quantified by calendar year and must determined in accordance with the applicable formula provided in Section 20 of the Regulations, based on whether the project is:</w:t>
            </w:r>
          </w:p>
          <w:p w14:paraId="3E807B33" w14:textId="77777777" w:rsidR="001D056E" w:rsidRPr="001D056E" w:rsidRDefault="001D056E" w:rsidP="001D056E">
            <w:pPr>
              <w:numPr>
                <w:ilvl w:val="0"/>
                <w:numId w:val="49"/>
              </w:numPr>
              <w:textAlignment w:val="baseline"/>
              <w:rPr>
                <w:rFonts w:ascii="Calibri" w:eastAsia="Times New Roman" w:hAnsi="Calibri" w:cs="Calibri"/>
                <w:kern w:val="0"/>
                <w:lang w:val="en-CA" w:eastAsia="en-GB"/>
                <w14:ligatures w14:val="none"/>
              </w:rPr>
            </w:pPr>
            <w:r w:rsidRPr="001D056E">
              <w:rPr>
                <w:rFonts w:ascii="Calibri" w:eastAsia="Times New Roman" w:hAnsi="Calibri" w:cs="Calibri"/>
                <w:kern w:val="0"/>
                <w:lang w:val="en-CA" w:eastAsia="en-GB"/>
                <w14:ligatures w14:val="none"/>
              </w:rPr>
              <w:t>A sequestration project;</w:t>
            </w:r>
          </w:p>
          <w:p w14:paraId="620326EC" w14:textId="77777777" w:rsidR="001D056E" w:rsidRPr="001D056E" w:rsidRDefault="001D056E" w:rsidP="001D056E">
            <w:pPr>
              <w:numPr>
                <w:ilvl w:val="0"/>
                <w:numId w:val="49"/>
              </w:numPr>
              <w:textAlignment w:val="baseline"/>
              <w:rPr>
                <w:rFonts w:ascii="Calibri" w:eastAsia="Times New Roman" w:hAnsi="Calibri" w:cs="Calibri"/>
                <w:kern w:val="0"/>
                <w:lang w:val="en-CA" w:eastAsia="en-GB"/>
                <w14:ligatures w14:val="none"/>
              </w:rPr>
            </w:pPr>
            <w:r w:rsidRPr="001D056E">
              <w:rPr>
                <w:rFonts w:ascii="Calibri" w:eastAsia="Times New Roman" w:hAnsi="Calibri" w:cs="Calibri"/>
                <w:kern w:val="0"/>
                <w:lang w:val="en-CA" w:eastAsia="en-GB"/>
                <w14:ligatures w14:val="none"/>
              </w:rPr>
              <w:t>A non-sequestration project;</w:t>
            </w:r>
          </w:p>
          <w:p w14:paraId="2DF90BF2" w14:textId="77777777" w:rsidR="001D056E" w:rsidRPr="001D056E" w:rsidRDefault="001D056E" w:rsidP="001D056E">
            <w:pPr>
              <w:numPr>
                <w:ilvl w:val="0"/>
                <w:numId w:val="49"/>
              </w:numPr>
              <w:textAlignment w:val="baseline"/>
              <w:rPr>
                <w:rFonts w:ascii="Calibri" w:eastAsia="Times New Roman" w:hAnsi="Calibri" w:cs="Calibri"/>
                <w:kern w:val="0"/>
                <w:lang w:val="en-CA" w:eastAsia="en-GB"/>
                <w14:ligatures w14:val="none"/>
              </w:rPr>
            </w:pPr>
            <w:r w:rsidRPr="001D056E">
              <w:rPr>
                <w:rFonts w:ascii="Calibri" w:eastAsia="Times New Roman" w:hAnsi="Calibri" w:cs="Calibri"/>
                <w:kern w:val="0"/>
                <w:lang w:val="en-CA" w:eastAsia="en-GB"/>
                <w14:ligatures w14:val="none"/>
              </w:rPr>
              <w:t>An aggregation of sequestration projects; or</w:t>
            </w:r>
          </w:p>
          <w:p w14:paraId="464BFF15" w14:textId="77777777" w:rsidR="001D056E" w:rsidRPr="001D056E" w:rsidRDefault="001D056E" w:rsidP="001D056E">
            <w:pPr>
              <w:numPr>
                <w:ilvl w:val="0"/>
                <w:numId w:val="49"/>
              </w:numPr>
              <w:textAlignment w:val="baseline"/>
              <w:rPr>
                <w:rFonts w:ascii="Calibri" w:eastAsia="Times New Roman" w:hAnsi="Calibri" w:cs="Calibri"/>
                <w:kern w:val="0"/>
                <w:lang w:val="en-CA" w:eastAsia="en-GB"/>
                <w14:ligatures w14:val="none"/>
              </w:rPr>
            </w:pPr>
            <w:r w:rsidRPr="001D056E">
              <w:rPr>
                <w:rFonts w:ascii="Calibri" w:eastAsia="Times New Roman" w:hAnsi="Calibri" w:cs="Calibri"/>
                <w:kern w:val="0"/>
                <w:lang w:val="en-CA" w:eastAsia="en-GB"/>
                <w14:ligatures w14:val="none"/>
              </w:rPr>
              <w:t>An aggregation of non-sequestration projects.</w:t>
            </w:r>
          </w:p>
          <w:p w14:paraId="4073F913" w14:textId="66B359B3" w:rsidR="00DD694D" w:rsidRPr="001D056E" w:rsidRDefault="001D056E" w:rsidP="00CF2E7C">
            <w:pPr>
              <w:textAlignment w:val="baseline"/>
              <w:rPr>
                <w:rFonts w:ascii="Calibri" w:eastAsia="Times New Roman" w:hAnsi="Calibri" w:cs="Calibri"/>
                <w:kern w:val="0"/>
                <w:lang w:val="en-CA" w:eastAsia="en-GB"/>
                <w14:ligatures w14:val="none"/>
              </w:rPr>
            </w:pPr>
            <w:r w:rsidRPr="001D056E">
              <w:rPr>
                <w:rFonts w:ascii="Calibri" w:eastAsia="Times New Roman" w:hAnsi="Calibri" w:cs="Calibri"/>
                <w:kern w:val="0"/>
                <w:lang w:val="en-CA" w:eastAsia="en-GB"/>
                <w14:ligatures w14:val="none"/>
              </w:rPr>
              <w:lastRenderedPageBreak/>
              <w:t>The applicable protocol outlines how to quantify GHG reductions in accordance with the formulas provided within section 20 of the Regulations.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98523D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056E">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53BB98B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056E">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5EDF4AA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056E">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373FA0C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056E">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F08411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056E">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05E5021A" w:rsidR="00B87C89" w:rsidRPr="00CF2E7C" w:rsidRDefault="00CC42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71C09B5D"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051533D4" w:rsidR="002119B6" w:rsidRPr="00CF2E7C" w:rsidRDefault="007C30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1971F501" w:rsidR="00FE7FA5" w:rsidRPr="00CF2E7C" w:rsidRDefault="007C30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86A0D79" w:rsidR="007C30A9" w:rsidRPr="00CF2E7C" w:rsidRDefault="007C30A9" w:rsidP="007C30A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Output-Based Pricing System is mandatory for large proponents emitting 50,000 tonnes of C02e. It is voluntary for f</w:t>
            </w:r>
            <w:r w:rsidRPr="007C30A9">
              <w:rPr>
                <w:rFonts w:ascii="Calibri" w:eastAsia="Times New Roman" w:hAnsi="Calibri" w:cs="Calibri"/>
                <w:kern w:val="0"/>
                <w:lang w:eastAsia="en-GB"/>
                <w14:ligatures w14:val="none"/>
              </w:rPr>
              <w:t>acilities emitting less than 50 kt but at risk of carbon leakage can opt-in.</w:t>
            </w:r>
            <w:r>
              <w:rPr>
                <w:rFonts w:ascii="Calibri" w:eastAsia="Times New Roman" w:hAnsi="Calibri" w:cs="Calibri"/>
                <w:kern w:val="0"/>
                <w:lang w:eastAsia="en-GB"/>
                <w14:ligatures w14:val="none"/>
              </w:rPr>
              <w:t xml:space="preserve"> Given this, the offset policies also bear on the voluntary market.</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EF197A3" w14:textId="56443FCA" w:rsidR="007C30A9" w:rsidRPr="007C30A9" w:rsidRDefault="007C30A9" w:rsidP="007C30A9">
            <w:pPr>
              <w:textAlignment w:val="baseline"/>
              <w:rPr>
                <w:rFonts w:ascii="Calibri" w:eastAsia="Times New Roman" w:hAnsi="Calibri" w:cs="Calibri"/>
                <w:kern w:val="0"/>
                <w:lang w:val="en-CA" w:eastAsia="en-GB"/>
                <w14:ligatures w14:val="none"/>
              </w:rPr>
            </w:pPr>
            <w:r w:rsidRPr="007C30A9">
              <w:rPr>
                <w:rFonts w:ascii="Calibri" w:eastAsia="Times New Roman" w:hAnsi="Calibri" w:cs="Calibri"/>
                <w:kern w:val="0"/>
                <w:lang w:val="en-CA" w:eastAsia="en-GB"/>
                <w14:ligatures w14:val="none"/>
              </w:rPr>
              <w:t>All project registration applications must be submitted to the Minister through the </w:t>
            </w:r>
            <w:r>
              <w:rPr>
                <w:rFonts w:ascii="Calibri" w:eastAsia="Times New Roman" w:hAnsi="Calibri" w:cs="Calibri"/>
                <w:kern w:val="0"/>
                <w:lang w:val="en-CA" w:eastAsia="en-GB"/>
                <w14:ligatures w14:val="none"/>
              </w:rPr>
              <w:t>“</w:t>
            </w:r>
            <w:r w:rsidRPr="007C30A9">
              <w:rPr>
                <w:rFonts w:ascii="Calibri" w:eastAsia="Times New Roman" w:hAnsi="Calibri" w:cs="Calibri"/>
                <w:kern w:val="0"/>
                <w:lang w:val="en-CA" w:eastAsia="en-GB"/>
                <w14:ligatures w14:val="none"/>
              </w:rPr>
              <w:t>Credit and Tracking System</w:t>
            </w:r>
            <w:r>
              <w:rPr>
                <w:rFonts w:ascii="Calibri" w:eastAsia="Times New Roman" w:hAnsi="Calibri" w:cs="Calibri"/>
                <w:kern w:val="0"/>
                <w:lang w:eastAsia="en-GB"/>
                <w14:ligatures w14:val="none"/>
              </w:rPr>
              <w:t>.”</w:t>
            </w:r>
          </w:p>
          <w:p w14:paraId="03E36704" w14:textId="30329828" w:rsidR="007C30A9" w:rsidRPr="007C30A9" w:rsidRDefault="007C30A9" w:rsidP="007C30A9">
            <w:pPr>
              <w:textAlignment w:val="baseline"/>
              <w:rPr>
                <w:rFonts w:ascii="Calibri" w:eastAsia="Times New Roman" w:hAnsi="Calibri" w:cs="Calibri"/>
                <w:b/>
                <w:bCs/>
                <w:kern w:val="0"/>
                <w:lang w:val="en-CA" w:eastAsia="en-GB"/>
                <w14:ligatures w14:val="none"/>
              </w:rPr>
            </w:pPr>
            <w:r w:rsidRPr="007C30A9">
              <w:rPr>
                <w:rFonts w:ascii="Calibri" w:eastAsia="Times New Roman" w:hAnsi="Calibri" w:cs="Calibri"/>
                <w:kern w:val="0"/>
                <w:lang w:val="en-CA" w:eastAsia="en-GB"/>
                <w14:ligatures w14:val="none"/>
              </w:rPr>
              <w:t xml:space="preserve">All project registration applications must meet requirements in section 8 or section 9(1) to (3), as applicable, and include information required in Schedule 1 (non-aggregated projects) or Schedule 2 (aggregations of projects) of the </w:t>
            </w:r>
            <w:r w:rsidR="00536BE4" w:rsidRPr="00536BE4">
              <w:rPr>
                <w:rFonts w:ascii="Calibri" w:eastAsia="Times New Roman" w:hAnsi="Calibri" w:cs="Calibri"/>
                <w:kern w:val="0"/>
                <w:lang w:val="en-CA" w:eastAsia="en-GB"/>
                <w14:ligatures w14:val="none"/>
              </w:rPr>
              <w:t>Greenhouse Gas Offset Credit System Regulations.</w:t>
            </w:r>
          </w:p>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2B4596B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00ADEC0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CA99E3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CA3380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03CDE3A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E1341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90208A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1CFB93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1B4BB0F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2003FA1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539F24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7B4158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42AB4EC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40F9D8E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6BE4">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CD466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D4664" w:rsidRDefault="00DD292A" w:rsidP="00CF2E7C">
            <w:pPr>
              <w:rPr>
                <w:rFonts w:ascii="Calibri" w:hAnsi="Calibri" w:cs="Calibri"/>
                <w:lang w:val="fr-CA"/>
              </w:rPr>
            </w:pPr>
            <w:r w:rsidRPr="00CD4664">
              <w:rPr>
                <w:rFonts w:ascii="Calibri" w:hAnsi="Calibri" w:cs="Calibri"/>
                <w:lang w:val="fr-CA"/>
              </w:rPr>
              <w:t>Minimum revenue (Enter minimum revenue)</w:t>
            </w:r>
          </w:p>
        </w:tc>
        <w:tc>
          <w:tcPr>
            <w:tcW w:w="4993" w:type="dxa"/>
            <w:gridSpan w:val="6"/>
            <w:shd w:val="clear" w:color="auto" w:fill="auto"/>
            <w:vAlign w:val="center"/>
          </w:tcPr>
          <w:p w14:paraId="5A15330D" w14:textId="77777777" w:rsidR="00DD292A" w:rsidRPr="00CD4664" w:rsidRDefault="00DD292A" w:rsidP="00CF2E7C">
            <w:pPr>
              <w:rPr>
                <w:rFonts w:ascii="Calibri" w:hAnsi="Calibri" w:cs="Calibri"/>
                <w:lang w:val="fr-CA"/>
              </w:rPr>
            </w:pPr>
          </w:p>
        </w:tc>
      </w:tr>
      <w:tr w:rsidR="00DD292A" w:rsidRPr="00CD466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D466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D4664" w:rsidRDefault="002F0752" w:rsidP="00CF2E7C">
            <w:pPr>
              <w:rPr>
                <w:rFonts w:ascii="Calibri" w:hAnsi="Calibri" w:cs="Calibri"/>
                <w:lang w:val="fr-CA"/>
              </w:rPr>
            </w:pPr>
            <w:r w:rsidRPr="00CD4664">
              <w:rPr>
                <w:rFonts w:ascii="Calibri" w:hAnsi="Calibri" w:cs="Calibri"/>
                <w:lang w:val="fr-CA"/>
              </w:rPr>
              <w:t>Minimum revenue (Enter minimum revenue)</w:t>
            </w:r>
          </w:p>
        </w:tc>
        <w:tc>
          <w:tcPr>
            <w:tcW w:w="4447" w:type="dxa"/>
            <w:gridSpan w:val="3"/>
            <w:shd w:val="clear" w:color="auto" w:fill="auto"/>
            <w:vAlign w:val="center"/>
          </w:tcPr>
          <w:p w14:paraId="63712777" w14:textId="77777777" w:rsidR="002F0752" w:rsidRPr="00CD4664" w:rsidRDefault="002F0752" w:rsidP="00CF2E7C">
            <w:pPr>
              <w:rPr>
                <w:rFonts w:ascii="Calibri" w:hAnsi="Calibri" w:cs="Calibri"/>
                <w:lang w:val="fr-CA"/>
              </w:rPr>
            </w:pPr>
          </w:p>
        </w:tc>
      </w:tr>
      <w:tr w:rsidR="002F0752" w:rsidRPr="00CD466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6C90F9" w14:textId="77777777" w:rsidR="00353172" w:rsidRDefault="00353172" w:rsidP="00874E39">
      <w:r>
        <w:separator/>
      </w:r>
    </w:p>
  </w:endnote>
  <w:endnote w:type="continuationSeparator" w:id="0">
    <w:p w14:paraId="78747CD2" w14:textId="77777777" w:rsidR="00353172" w:rsidRDefault="00353172" w:rsidP="00874E39">
      <w:r>
        <w:continuationSeparator/>
      </w:r>
    </w:p>
  </w:endnote>
  <w:endnote w:type="continuationNotice" w:id="1">
    <w:p w14:paraId="27FF4B37" w14:textId="77777777" w:rsidR="00353172" w:rsidRDefault="0035317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DCC1E5" w14:textId="77777777" w:rsidR="00353172" w:rsidRDefault="00353172" w:rsidP="00874E39">
      <w:r>
        <w:separator/>
      </w:r>
    </w:p>
  </w:footnote>
  <w:footnote w:type="continuationSeparator" w:id="0">
    <w:p w14:paraId="2A7AD996" w14:textId="77777777" w:rsidR="00353172" w:rsidRDefault="00353172" w:rsidP="00874E39">
      <w:r>
        <w:continuationSeparator/>
      </w:r>
    </w:p>
  </w:footnote>
  <w:footnote w:type="continuationNotice" w:id="1">
    <w:p w14:paraId="2572DD32" w14:textId="77777777" w:rsidR="00353172" w:rsidRDefault="0035317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03E539" w14:textId="77777777" w:rsidR="000B53AE" w:rsidRDefault="000B53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89086F" w14:textId="77777777" w:rsidR="000B53AE" w:rsidRDefault="000B53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2479BD"/>
    <w:multiLevelType w:val="multilevel"/>
    <w:tmpl w:val="1D1C4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630399090">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ACTIVE_CA||1~69290196||2~1||3~CA_GHG Offset Credit System_Gowling COMPETED||5~PARKERL||6~PARKERL||7~WORDX||8~WORK||10~2025-07-09 3:14:47 AM||11~2025-07-09 2:58:26 AM||13~3135434||14~False||17~public||18~PARKERL||19~PARKERL||21~True||22~True||23~False||25~264314||26~G10054536||27~081||28~REEDERG||29~EN||53~ENV||54~ENV04||60~Oxford Climate Policy Hub||61~Oxford Climate Policy Monitor||62~Toronto||64~English||72~Environmental &amp; Nat Resources||73~Environmental (General)||74~Parker, Larissa||75~Parker, Larissa||76~WORD 2007||77~Work Product / Docs liés au mandat||82~docx||85~2025-07-09 3:14:53 AM||99~0001-01-01 12:00:00 AM||106~C:\Users\parkerl\AppData\Roaming\iManage\Work\Recent\Oxford Climate Policy Hub - Oxford Climate Policy Monitor (264314-G10054536)\CA_GHG Offset Credit System_Gowling COMPETED(69290196.1).docx||107~0001-01-01 12:00:00 AM||109~2025-07-09 3:19:45 AM||113~2025-07-09 2:58:26 AM||114~2025-07-09 3:14:47 AM||124~False||"/>
    <w:docVar w:name="zzmp10NoTrailerPromptID" w:val="ACTIVE_CA.69290196.1"/>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37972"/>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3AE"/>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056E"/>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5F06"/>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F29"/>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AB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172"/>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0636"/>
    <w:rsid w:val="003809A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D0B"/>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7A3"/>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6BE4"/>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0DD"/>
    <w:rsid w:val="005576AE"/>
    <w:rsid w:val="00561537"/>
    <w:rsid w:val="00563224"/>
    <w:rsid w:val="00563432"/>
    <w:rsid w:val="00566433"/>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0C4"/>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027"/>
    <w:rsid w:val="00765130"/>
    <w:rsid w:val="007653FB"/>
    <w:rsid w:val="0076706A"/>
    <w:rsid w:val="00767910"/>
    <w:rsid w:val="0077017A"/>
    <w:rsid w:val="007710D7"/>
    <w:rsid w:val="00773639"/>
    <w:rsid w:val="00774353"/>
    <w:rsid w:val="00775056"/>
    <w:rsid w:val="007759A9"/>
    <w:rsid w:val="007759EF"/>
    <w:rsid w:val="00775C7B"/>
    <w:rsid w:val="00777550"/>
    <w:rsid w:val="00777BF4"/>
    <w:rsid w:val="00777E1D"/>
    <w:rsid w:val="007802A2"/>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0A9"/>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D5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1C7A"/>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8A8"/>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28E"/>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D43"/>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F80"/>
    <w:rsid w:val="00BD6932"/>
    <w:rsid w:val="00BD6D24"/>
    <w:rsid w:val="00BE049B"/>
    <w:rsid w:val="00BE0825"/>
    <w:rsid w:val="00BE13CB"/>
    <w:rsid w:val="00BE1A88"/>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E0E"/>
    <w:rsid w:val="00CB76AA"/>
    <w:rsid w:val="00CB790E"/>
    <w:rsid w:val="00CC1407"/>
    <w:rsid w:val="00CC42A2"/>
    <w:rsid w:val="00CC450D"/>
    <w:rsid w:val="00CC4FFC"/>
    <w:rsid w:val="00CC5328"/>
    <w:rsid w:val="00CC77F9"/>
    <w:rsid w:val="00CC7CC0"/>
    <w:rsid w:val="00CD0735"/>
    <w:rsid w:val="00CD3D23"/>
    <w:rsid w:val="00CD42E0"/>
    <w:rsid w:val="00CD4664"/>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8AC"/>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6C7"/>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1F7D"/>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100"/>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0B1"/>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765027"/>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661275">
      <w:bodyDiv w:val="1"/>
      <w:marLeft w:val="0"/>
      <w:marRight w:val="0"/>
      <w:marTop w:val="0"/>
      <w:marBottom w:val="0"/>
      <w:divBdr>
        <w:top w:val="none" w:sz="0" w:space="0" w:color="auto"/>
        <w:left w:val="none" w:sz="0" w:space="0" w:color="auto"/>
        <w:bottom w:val="none" w:sz="0" w:space="0" w:color="auto"/>
        <w:right w:val="none" w:sz="0" w:space="0" w:color="auto"/>
      </w:divBdr>
    </w:div>
    <w:div w:id="99758705">
      <w:bodyDiv w:val="1"/>
      <w:marLeft w:val="0"/>
      <w:marRight w:val="0"/>
      <w:marTop w:val="0"/>
      <w:marBottom w:val="0"/>
      <w:divBdr>
        <w:top w:val="none" w:sz="0" w:space="0" w:color="auto"/>
        <w:left w:val="none" w:sz="0" w:space="0" w:color="auto"/>
        <w:bottom w:val="none" w:sz="0" w:space="0" w:color="auto"/>
        <w:right w:val="none" w:sz="0" w:space="0" w:color="auto"/>
      </w:divBdr>
    </w:div>
    <w:div w:id="35346332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752517">
      <w:bodyDiv w:val="1"/>
      <w:marLeft w:val="0"/>
      <w:marRight w:val="0"/>
      <w:marTop w:val="0"/>
      <w:marBottom w:val="0"/>
      <w:divBdr>
        <w:top w:val="none" w:sz="0" w:space="0" w:color="auto"/>
        <w:left w:val="none" w:sz="0" w:space="0" w:color="auto"/>
        <w:bottom w:val="none" w:sz="0" w:space="0" w:color="auto"/>
        <w:right w:val="none" w:sz="0" w:space="0" w:color="auto"/>
      </w:divBdr>
    </w:div>
    <w:div w:id="589433026">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7528481">
      <w:bodyDiv w:val="1"/>
      <w:marLeft w:val="0"/>
      <w:marRight w:val="0"/>
      <w:marTop w:val="0"/>
      <w:marBottom w:val="0"/>
      <w:divBdr>
        <w:top w:val="none" w:sz="0" w:space="0" w:color="auto"/>
        <w:left w:val="none" w:sz="0" w:space="0" w:color="auto"/>
        <w:bottom w:val="none" w:sz="0" w:space="0" w:color="auto"/>
        <w:right w:val="none" w:sz="0" w:space="0" w:color="auto"/>
      </w:divBdr>
    </w:div>
    <w:div w:id="756900657">
      <w:bodyDiv w:val="1"/>
      <w:marLeft w:val="0"/>
      <w:marRight w:val="0"/>
      <w:marTop w:val="0"/>
      <w:marBottom w:val="0"/>
      <w:divBdr>
        <w:top w:val="none" w:sz="0" w:space="0" w:color="auto"/>
        <w:left w:val="none" w:sz="0" w:space="0" w:color="auto"/>
        <w:bottom w:val="none" w:sz="0" w:space="0" w:color="auto"/>
        <w:right w:val="none" w:sz="0" w:space="0" w:color="auto"/>
      </w:divBdr>
    </w:div>
    <w:div w:id="769013453">
      <w:bodyDiv w:val="1"/>
      <w:marLeft w:val="0"/>
      <w:marRight w:val="0"/>
      <w:marTop w:val="0"/>
      <w:marBottom w:val="0"/>
      <w:divBdr>
        <w:top w:val="none" w:sz="0" w:space="0" w:color="auto"/>
        <w:left w:val="none" w:sz="0" w:space="0" w:color="auto"/>
        <w:bottom w:val="none" w:sz="0" w:space="0" w:color="auto"/>
        <w:right w:val="none" w:sz="0" w:space="0" w:color="auto"/>
      </w:divBdr>
    </w:div>
    <w:div w:id="77294145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734574">
      <w:bodyDiv w:val="1"/>
      <w:marLeft w:val="0"/>
      <w:marRight w:val="0"/>
      <w:marTop w:val="0"/>
      <w:marBottom w:val="0"/>
      <w:divBdr>
        <w:top w:val="none" w:sz="0" w:space="0" w:color="auto"/>
        <w:left w:val="none" w:sz="0" w:space="0" w:color="auto"/>
        <w:bottom w:val="none" w:sz="0" w:space="0" w:color="auto"/>
        <w:right w:val="none" w:sz="0" w:space="0" w:color="auto"/>
      </w:divBdr>
    </w:div>
    <w:div w:id="117587581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603825">
      <w:bodyDiv w:val="1"/>
      <w:marLeft w:val="0"/>
      <w:marRight w:val="0"/>
      <w:marTop w:val="0"/>
      <w:marBottom w:val="0"/>
      <w:divBdr>
        <w:top w:val="none" w:sz="0" w:space="0" w:color="auto"/>
        <w:left w:val="none" w:sz="0" w:space="0" w:color="auto"/>
        <w:bottom w:val="none" w:sz="0" w:space="0" w:color="auto"/>
        <w:right w:val="none" w:sz="0" w:space="0" w:color="auto"/>
      </w:divBdr>
    </w:div>
    <w:div w:id="1259631952">
      <w:bodyDiv w:val="1"/>
      <w:marLeft w:val="0"/>
      <w:marRight w:val="0"/>
      <w:marTop w:val="0"/>
      <w:marBottom w:val="0"/>
      <w:divBdr>
        <w:top w:val="none" w:sz="0" w:space="0" w:color="auto"/>
        <w:left w:val="none" w:sz="0" w:space="0" w:color="auto"/>
        <w:bottom w:val="none" w:sz="0" w:space="0" w:color="auto"/>
        <w:right w:val="none" w:sz="0" w:space="0" w:color="auto"/>
      </w:divBdr>
    </w:div>
    <w:div w:id="1345203850">
      <w:bodyDiv w:val="1"/>
      <w:marLeft w:val="0"/>
      <w:marRight w:val="0"/>
      <w:marTop w:val="0"/>
      <w:marBottom w:val="0"/>
      <w:divBdr>
        <w:top w:val="none" w:sz="0" w:space="0" w:color="auto"/>
        <w:left w:val="none" w:sz="0" w:space="0" w:color="auto"/>
        <w:bottom w:val="none" w:sz="0" w:space="0" w:color="auto"/>
        <w:right w:val="none" w:sz="0" w:space="0" w:color="auto"/>
      </w:divBdr>
    </w:div>
    <w:div w:id="1667242627">
      <w:bodyDiv w:val="1"/>
      <w:marLeft w:val="0"/>
      <w:marRight w:val="0"/>
      <w:marTop w:val="0"/>
      <w:marBottom w:val="0"/>
      <w:divBdr>
        <w:top w:val="none" w:sz="0" w:space="0" w:color="auto"/>
        <w:left w:val="none" w:sz="0" w:space="0" w:color="auto"/>
        <w:bottom w:val="none" w:sz="0" w:space="0" w:color="auto"/>
        <w:right w:val="none" w:sz="0" w:space="0" w:color="auto"/>
      </w:divBdr>
    </w:div>
    <w:div w:id="1669555584">
      <w:bodyDiv w:val="1"/>
      <w:marLeft w:val="0"/>
      <w:marRight w:val="0"/>
      <w:marTop w:val="0"/>
      <w:marBottom w:val="0"/>
      <w:divBdr>
        <w:top w:val="none" w:sz="0" w:space="0" w:color="auto"/>
        <w:left w:val="none" w:sz="0" w:space="0" w:color="auto"/>
        <w:bottom w:val="none" w:sz="0" w:space="0" w:color="auto"/>
        <w:right w:val="none" w:sz="0" w:space="0" w:color="auto"/>
      </w:divBdr>
    </w:div>
    <w:div w:id="170447348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399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9025646/https:/gazette.gc.ca/rp-pr/p2/2022/2022-06-08/html/sor-dors111-eng.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708223601/https:/www.canada.ca/en/environment-climate-change/services/climate-change/pricing-pollution-how-it-will-work/output-based-pricing-system/federal-greenhouse-gas-offset-system/regulations.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108</Pages>
  <Words>25187</Words>
  <Characters>129215</Characters>
  <Application>Microsoft Office Word</Application>
  <DocSecurity>0</DocSecurity>
  <Lines>2307</Lines>
  <Paragraphs>877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Parker, Larissa</cp:lastModifiedBy>
  <cp:revision>7</cp:revision>
  <cp:lastPrinted>2025-03-21T00:14:00Z</cp:lastPrinted>
  <dcterms:created xsi:type="dcterms:W3CDTF">2025-07-09T02:58:00Z</dcterms:created>
  <dcterms:modified xsi:type="dcterms:W3CDTF">2025-07-09T03:20:00Z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